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Приложение №</w:t>
      </w:r>
      <w:r>
        <w:rPr>
          <w:b/>
          <w:sz w:val="22"/>
          <w:szCs w:val="24"/>
        </w:rPr>
        <w:t xml:space="preserve">6</w:t>
      </w:r>
      <w:bookmarkStart w:id="0" w:name="_GoBack"/>
      <w:r/>
      <w:bookmarkEnd w:id="0"/>
      <w:r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jc w:val="right"/>
        <w:rPr>
          <w:rFonts w:eastAsia="Calibri"/>
          <w:sz w:val="22"/>
          <w:szCs w:val="24"/>
          <w:lang w:eastAsia="en-US"/>
        </w:rPr>
      </w:pPr>
      <w:r>
        <w:rPr>
          <w:rFonts w:eastAsia="Calibri"/>
          <w:sz w:val="22"/>
          <w:szCs w:val="24"/>
          <w:lang w:eastAsia="en-US"/>
        </w:rPr>
        <w:t xml:space="preserve">к Договору №</w:t>
      </w:r>
      <w:r>
        <w:rPr>
          <w:rFonts w:eastAsia="Calibri"/>
          <w:sz w:val="22"/>
          <w:szCs w:val="24"/>
          <w:lang w:eastAsia="en-US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Я, </w:t>
      </w:r>
      <w:r>
        <w:rPr>
          <w:i/>
          <w:sz w:val="24"/>
          <w:szCs w:val="24"/>
          <w:u w:val="single"/>
        </w:rPr>
        <w:t xml:space="preserve">(</w:t>
      </w:r>
      <w:r>
        <w:rPr>
          <w:b/>
          <w:sz w:val="24"/>
          <w:szCs w:val="24"/>
        </w:rPr>
        <w:t xml:space="preserve">указать</w:t>
      </w:r>
      <w:r>
        <w:rPr>
          <w:b/>
          <w:sz w:val="24"/>
          <w:szCs w:val="24"/>
        </w:rPr>
        <w:t xml:space="preserve">:</w:t>
      </w:r>
      <w:r>
        <w:rPr>
          <w:i/>
          <w:sz w:val="24"/>
          <w:szCs w:val="24"/>
          <w:u w:val="single"/>
        </w:rPr>
        <w:t xml:space="preserve"> фамилия</w:t>
      </w:r>
      <w:r>
        <w:rPr>
          <w:i/>
          <w:sz w:val="24"/>
          <w:szCs w:val="24"/>
          <w:u w:val="single"/>
        </w:rPr>
        <w:t xml:space="preserve">,</w:t>
      </w:r>
      <w:r>
        <w:rPr>
          <w:i/>
          <w:sz w:val="24"/>
          <w:szCs w:val="24"/>
          <w:u w:val="single"/>
        </w:rPr>
        <w:t xml:space="preserve"> имя, отчество, адрес, номер документа, удостоверяющего его личность, сведения о дате выдачи указанного документа и выдавшем его органе)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Затонская</w:t>
      </w:r>
      <w:r>
        <w:rPr>
          <w:sz w:val="24"/>
          <w:szCs w:val="24"/>
        </w:rPr>
        <w:t xml:space="preserve"> ТЭЦ филиал ООО «БГК»</w:t>
      </w:r>
      <w:r>
        <w:rPr>
          <w:i/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адрес: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450511, РБ, Уфимский р-н, с/п</w:t>
      </w:r>
      <w:r>
        <w:rPr>
          <w:i/>
          <w:sz w:val="24"/>
          <w:szCs w:val="24"/>
        </w:rPr>
        <w:t xml:space="preserve"> Михайловский сельсовет, а/я 32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Общество с ограниченной ответственностью «Ба</w:t>
      </w:r>
      <w:r>
        <w:rPr>
          <w:sz w:val="24"/>
          <w:szCs w:val="24"/>
        </w:rPr>
        <w:t xml:space="preserve">шкирская генерирующая компания»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 xml:space="preserve">адрес:</w:t>
      </w:r>
      <w:r>
        <w:rPr>
          <w:spacing w:val="-2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 xml:space="preserve">450059</w:t>
      </w:r>
      <w:r>
        <w:rPr>
          <w:i/>
          <w:spacing w:val="-2"/>
          <w:sz w:val="22"/>
          <w:szCs w:val="22"/>
        </w:rPr>
        <w:t xml:space="preserve">, РБ</w:t>
      </w:r>
      <w:r>
        <w:rPr>
          <w:i/>
          <w:spacing w:val="-2"/>
          <w:sz w:val="22"/>
          <w:szCs w:val="22"/>
        </w:rPr>
        <w:t xml:space="preserve">, г. Уфа, ул. Рихарда Зорге, д.</w:t>
      </w:r>
      <w:r>
        <w:rPr>
          <w:i/>
          <w:spacing w:val="-2"/>
          <w:sz w:val="22"/>
          <w:szCs w:val="22"/>
        </w:rPr>
        <w:t xml:space="preserve">3</w:t>
      </w:r>
      <w:r>
        <w:rPr>
          <w:i/>
          <w:spacing w:val="-2"/>
          <w:sz w:val="22"/>
          <w:szCs w:val="22"/>
        </w:rPr>
        <w:t xml:space="preserve">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Публичное</w:t>
      </w:r>
      <w:r>
        <w:rPr>
          <w:sz w:val="24"/>
          <w:szCs w:val="24"/>
        </w:rPr>
        <w:t xml:space="preserve"> акционерное общество «ИНТЕР РАО ЕЭС», </w:t>
      </w:r>
      <w:r>
        <w:rPr>
          <w:i/>
          <w:sz w:val="24"/>
          <w:szCs w:val="24"/>
        </w:rPr>
        <w:t xml:space="preserve">адрес:</w:t>
      </w:r>
      <w:r>
        <w:rPr>
          <w:i/>
          <w:sz w:val="24"/>
          <w:szCs w:val="24"/>
        </w:rPr>
        <w:t xml:space="preserve">119435, г.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Москва,</w:t>
      </w:r>
      <w:r>
        <w:rPr>
          <w:i/>
          <w:sz w:val="24"/>
          <w:szCs w:val="24"/>
        </w:rPr>
        <w:br/>
      </w:r>
      <w:r>
        <w:rPr>
          <w:i/>
          <w:sz w:val="24"/>
          <w:szCs w:val="24"/>
        </w:rPr>
        <w:t xml:space="preserve">ул.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Большая </w:t>
      </w:r>
      <w:r>
        <w:rPr>
          <w:i/>
          <w:sz w:val="24"/>
          <w:szCs w:val="24"/>
        </w:rPr>
        <w:t xml:space="preserve">Пироговская</w:t>
      </w:r>
      <w:r>
        <w:rPr>
          <w:i/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д.27 стр.</w:t>
      </w:r>
      <w:r>
        <w:rPr>
          <w:i/>
          <w:sz w:val="24"/>
          <w:szCs w:val="24"/>
        </w:rPr>
        <w:t xml:space="preserve">2</w:t>
      </w:r>
      <w:r>
        <w:rPr>
          <w:i/>
          <w:sz w:val="24"/>
          <w:szCs w:val="24"/>
        </w:rPr>
        <w:t xml:space="preserve">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Общество с ограниченной ответственностью «ИНТЕР РАО- Центр управления закупками»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адрес:119436, г.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Москва,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ул.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Большая </w:t>
      </w:r>
      <w:r>
        <w:rPr>
          <w:i/>
          <w:sz w:val="24"/>
          <w:szCs w:val="24"/>
        </w:rPr>
        <w:t xml:space="preserve">Пироговская</w:t>
      </w:r>
      <w:r>
        <w:rPr>
          <w:i/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д.27 стр.3;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-1152525</wp:posOffset>
                </wp:positionH>
                <wp:positionV relativeFrom="paragraph">
                  <wp:posOffset>231775</wp:posOffset>
                </wp:positionV>
                <wp:extent cx="7829550" cy="822960"/>
                <wp:effectExtent l="0" t="2076450" r="0" b="2091689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rot="19549008">
                          <a:off x="0" y="0"/>
                          <a:ext cx="782955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567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Образец не заполнять</w:t>
                            </w: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r>
                          </w:p>
                          <w:p>
                            <w:pPr>
                              <w:contextualSpacing/>
                              <w:widowControl w:val="off"/>
                              <w:tabs>
                                <w:tab w:val="decimal" w:pos="4152" w:leader="none"/>
                                <w:tab w:val="decimal" w:pos="8305" w:leader="none"/>
                              </w:tabs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margin;margin-left:-90.75pt;mso-position-horizontal:absolute;mso-position-vertical-relative:text;margin-top:18.25pt;mso-position-vertical:absolute;width:616.50pt;height:64.80pt;mso-wrap-distance-left:9.00pt;mso-wrap-distance-top:0.00pt;mso-wrap-distance-right:9.00pt;mso-wrap-distance-bottom:0.00pt;rotation:325;v-text-anchor:top;visibility:visible;" filled="f" stroked="f">
                <v:textbox inset="0,0,0,0">
                  <w:txbxContent>
                    <w:p>
                      <w:pPr>
                        <w:ind w:firstLine="567"/>
                        <w:jc w:val="center"/>
                        <w:rPr>
                          <w:b/>
                          <w:color w:val="4472c4" w:themeColor="accent5"/>
                          <w:sz w:val="72"/>
                          <w:szCs w:val="72"/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Образец не заполнять</w:t>
                      </w:r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r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r>
                    </w:p>
                    <w:p>
                      <w:pPr>
                        <w:contextualSpacing/>
                        <w:widowControl w:val="off"/>
                        <w:tabs>
                          <w:tab w:val="decimal" w:pos="4152" w:leader="none"/>
                          <w:tab w:val="decimal" w:pos="8305" w:leader="none"/>
                        </w:tabs>
                        <w:rPr>
                          <w:rFonts w:eastAsia="Arial Unicode MS"/>
                          <w:color w:val="000000" w:themeColor="text1"/>
                          <w:sz w:val="9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eastAsia="Arial Unicode MS"/>
                          <w:color w:val="000000" w:themeColor="text1"/>
                          <w:sz w:val="9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r>
                      <w:r>
                        <w:rPr>
                          <w:rFonts w:eastAsia="Arial Unicode MS"/>
                          <w:color w:val="000000" w:themeColor="text1"/>
                          <w:sz w:val="9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r>
                      <w:r>
                        <w:rPr>
                          <w:rFonts w:eastAsia="Arial Unicode MS"/>
                          <w:color w:val="000000" w:themeColor="text1"/>
                          <w:sz w:val="9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Правительство Российской Федерации, </w:t>
      </w:r>
      <w:r>
        <w:rPr>
          <w:i/>
          <w:sz w:val="24"/>
          <w:szCs w:val="24"/>
        </w:rPr>
        <w:t xml:space="preserve">адрес</w:t>
      </w:r>
      <w:r>
        <w:rPr>
          <w:i/>
          <w:sz w:val="24"/>
          <w:szCs w:val="24"/>
        </w:rPr>
        <w:t xml:space="preserve"> :103274, г. Москва, Краснопресненская набережная, д.2;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Министерство энергетики Российской Федерации, </w:t>
      </w:r>
      <w:r>
        <w:rPr>
          <w:i/>
          <w:sz w:val="24"/>
          <w:szCs w:val="24"/>
        </w:rPr>
        <w:t xml:space="preserve">адрес</w:t>
      </w:r>
      <w:r>
        <w:rPr>
          <w:i/>
          <w:sz w:val="24"/>
          <w:szCs w:val="24"/>
        </w:rPr>
        <w:t xml:space="preserve">: 109074, г. Москва, Китайский проезд,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д.7</w:t>
      </w:r>
      <w:r>
        <w:rPr>
          <w:i/>
          <w:sz w:val="24"/>
          <w:szCs w:val="24"/>
        </w:rPr>
        <w:t xml:space="preserve">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Федеральная служба по финансовому мониторингу, </w:t>
      </w:r>
      <w:r>
        <w:rPr>
          <w:i/>
          <w:sz w:val="24"/>
          <w:szCs w:val="24"/>
        </w:rPr>
        <w:t xml:space="preserve">адрес</w:t>
      </w:r>
      <w:r>
        <w:rPr>
          <w:i/>
          <w:sz w:val="24"/>
          <w:szCs w:val="24"/>
        </w:rPr>
        <w:t xml:space="preserve">: 107450, г.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Москва, К-450, ул.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Мясницкая, д.39, стр.1;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line="360" w:lineRule="auto"/>
        <w:tabs>
          <w:tab w:val="right" w:pos="9355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- Федеральная налоговая служба, </w:t>
      </w:r>
      <w:r>
        <w:rPr>
          <w:i/>
          <w:sz w:val="24"/>
          <w:szCs w:val="24"/>
        </w:rPr>
        <w:t xml:space="preserve">адрес</w:t>
      </w:r>
      <w:r>
        <w:rPr>
          <w:i/>
          <w:sz w:val="24"/>
          <w:szCs w:val="24"/>
        </w:rPr>
        <w:t xml:space="preserve">: 127381, г.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Москва, ул. </w:t>
      </w:r>
      <w:r>
        <w:rPr>
          <w:i/>
          <w:sz w:val="24"/>
          <w:szCs w:val="24"/>
        </w:rPr>
        <w:t xml:space="preserve">Неглинная</w:t>
      </w:r>
      <w:r>
        <w:rPr>
          <w:i/>
          <w:sz w:val="24"/>
          <w:szCs w:val="24"/>
        </w:rPr>
        <w:t xml:space="preserve">, д.23</w:t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567"/>
        <w:jc w:val="both"/>
        <w:tabs>
          <w:tab w:val="right" w:pos="9355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передачу (предоставление доступа) персональных данных компаниям, входящими в Группу ИНТЕР РАО ЕЭС</w:t>
      </w:r>
      <w:r>
        <w:rPr>
          <w:sz w:val="24"/>
          <w:szCs w:val="24"/>
          <w:u w:val="single"/>
        </w:rPr>
        <w:t xml:space="preserve">,</w:t>
      </w:r>
      <w:r>
        <w:rPr>
          <w:sz w:val="24"/>
          <w:szCs w:val="24"/>
        </w:rPr>
        <w:t xml:space="preserve"> извлечение, обезличивание, блокирование, удаление, уничтожение.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действия </w:t>
      </w:r>
      <w:r>
        <w:rPr>
          <w:sz w:val="24"/>
          <w:szCs w:val="24"/>
        </w:rPr>
        <w:t xml:space="preserve">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 2011 года № ВП-П13-9308, от 5 марта 2012 года № ВП-П24-1269.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согласие на обработку моих персональных данных действует в течение 1 (одного) года или до его отзыва мною путём направления вышеуказанным операторам письменного уведомления по указанным в согласии адресам.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100" w:lineRule="atLeast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</w:r>
      <w:r>
        <w:rPr>
          <w:rFonts w:eastAsia="Calibri"/>
          <w:sz w:val="24"/>
          <w:szCs w:val="24"/>
          <w:lang w:eastAsia="ar-SA"/>
        </w:rPr>
      </w:r>
      <w:r>
        <w:rPr>
          <w:rFonts w:eastAsia="Calibri"/>
          <w:sz w:val="24"/>
          <w:szCs w:val="24"/>
          <w:lang w:eastAsia="ar-SA"/>
        </w:rPr>
      </w:r>
    </w:p>
    <w:p>
      <w:pPr>
        <w:jc w:val="center"/>
        <w:spacing w:line="23" w:lineRule="atLeast"/>
        <w:tabs>
          <w:tab w:val="left" w:pos="426" w:leader="none"/>
        </w:tabs>
        <w:rPr>
          <w:rFonts w:eastAsia="Cambria"/>
          <w:b/>
          <w:bCs/>
          <w:sz w:val="24"/>
          <w:szCs w:val="24"/>
        </w:rPr>
      </w:pPr>
      <w:r>
        <w:rPr>
          <w:rFonts w:eastAsia="Cambria"/>
          <w:b/>
          <w:sz w:val="24"/>
          <w:szCs w:val="24"/>
          <w:highlight w:val="none"/>
        </w:rPr>
      </w:r>
      <w:r>
        <w:rPr>
          <w:rFonts w:eastAsia="Cambria"/>
          <w:b/>
          <w:bCs/>
          <w:sz w:val="24"/>
          <w:szCs w:val="24"/>
        </w:rPr>
      </w:r>
      <w:r>
        <w:rPr>
          <w:rFonts w:eastAsia="Cambria"/>
          <w:b/>
          <w:bCs/>
          <w:sz w:val="24"/>
          <w:szCs w:val="24"/>
        </w:rPr>
      </w:r>
    </w:p>
    <w:p>
      <w:pPr>
        <w:jc w:val="center"/>
        <w:spacing w:line="23" w:lineRule="atLeast"/>
        <w:tabs>
          <w:tab w:val="left" w:pos="426" w:leader="none"/>
        </w:tabs>
        <w:rPr>
          <w:rFonts w:eastAsia="Cambria"/>
          <w:b/>
          <w:bCs/>
          <w:sz w:val="24"/>
          <w:szCs w:val="24"/>
          <w:highlight w:val="none"/>
        </w:rPr>
      </w:pPr>
      <w:r>
        <w:rPr>
          <w:rFonts w:eastAsia="Cambria"/>
          <w:b/>
          <w:sz w:val="24"/>
          <w:szCs w:val="24"/>
        </w:rPr>
        <w:t xml:space="preserve">Форму утверждаем:</w:t>
      </w:r>
      <w:r>
        <w:rPr>
          <w:rFonts w:eastAsia="Cambria"/>
          <w:b/>
          <w:bCs/>
          <w:sz w:val="24"/>
          <w:szCs w:val="24"/>
          <w:highlight w:val="none"/>
        </w:rPr>
      </w:r>
      <w:r>
        <w:rPr>
          <w:rFonts w:eastAsia="Cambria"/>
          <w:b/>
          <w:bCs/>
          <w:sz w:val="24"/>
          <w:szCs w:val="24"/>
          <w:highlight w:val="none"/>
        </w:rPr>
      </w:r>
    </w:p>
    <w:p>
      <w:pPr>
        <w:jc w:val="center"/>
        <w:spacing w:line="23" w:lineRule="atLeast"/>
        <w:tabs>
          <w:tab w:val="left" w:pos="426" w:leader="none"/>
        </w:tabs>
        <w:rPr>
          <w:rFonts w:eastAsia="Cambria"/>
          <w:b/>
          <w:bCs/>
          <w:sz w:val="24"/>
          <w:szCs w:val="24"/>
          <w:highlight w:val="none"/>
        </w:rPr>
      </w:pPr>
      <w:r>
        <w:rPr>
          <w:rFonts w:eastAsia="Cambria"/>
          <w:b/>
          <w:bCs/>
          <w:sz w:val="24"/>
          <w:szCs w:val="24"/>
          <w:highlight w:val="none"/>
        </w:rPr>
      </w:r>
      <w:r>
        <w:rPr>
          <w:rFonts w:eastAsia="Cambria"/>
          <w:b/>
          <w:bCs/>
          <w:sz w:val="24"/>
          <w:szCs w:val="24"/>
          <w:highlight w:val="none"/>
        </w:rPr>
      </w:r>
      <w:r>
        <w:rPr>
          <w:rFonts w:eastAsia="Cambria"/>
          <w:b/>
          <w:bCs/>
          <w:sz w:val="24"/>
          <w:szCs w:val="24"/>
          <w:highlight w:val="none"/>
        </w:rPr>
      </w:r>
    </w:p>
    <w:tbl>
      <w:tblPr>
        <w:tblW w:w="11064" w:type="dxa"/>
        <w:tblInd w:w="123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5103"/>
        <w:gridCol w:w="5961"/>
      </w:tblGrid>
      <w:tr>
        <w:tblPrEx/>
        <w:trPr>
          <w:trHeight w:val="344"/>
        </w:trPr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5961" w:type="dxa"/>
            <w:textDirection w:val="lrTb"/>
            <w:noWrap w:val="false"/>
          </w:tcPr>
          <w:p>
            <w:pPr>
              <w:pStyle w:val="839"/>
              <w:contextualSpacing/>
              <w:tabs>
                <w:tab w:val="decimal" w:pos="4152" w:leader="none"/>
                <w:tab w:val="decimal" w:pos="8305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510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510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Normal (Web)"/>
    <w:basedOn w:val="832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837">
    <w:name w:val="Balloon Text"/>
    <w:basedOn w:val="832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3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39" w:customStyle="1">
    <w:name w:val="waa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tabs>
        <w:tab w:val="center" w:pos="4152" w:leader="none"/>
        <w:tab w:val="right" w:pos="830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Arial Unicode MS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48CB0-9C45-4F51-84C0-1404ED10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Ялалова Гульнара Дамировна</dc:creator>
  <cp:keywords/>
  <dc:description/>
  <cp:lastModifiedBy>safiullina_er</cp:lastModifiedBy>
  <cp:revision>36</cp:revision>
  <dcterms:created xsi:type="dcterms:W3CDTF">2018-03-28T06:51:00Z</dcterms:created>
  <dcterms:modified xsi:type="dcterms:W3CDTF">2025-06-11T10:31:54Z</dcterms:modified>
</cp:coreProperties>
</file>